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86F5" w14:textId="00AE7475" w:rsidR="002045FC" w:rsidRDefault="002045FC" w:rsidP="002045FC">
      <w:pPr>
        <w:spacing w:line="360" w:lineRule="auto"/>
        <w:jc w:val="left"/>
        <w:rPr>
          <w:rFonts w:ascii="Arial Narrow" w:hAnsi="Arial Narrow"/>
          <w:b/>
          <w:bCs/>
        </w:rPr>
      </w:pPr>
      <w:r w:rsidRPr="002045FC">
        <w:rPr>
          <w:rFonts w:ascii="Arial Narrow" w:hAnsi="Arial Narrow"/>
          <w:b/>
          <w:bCs/>
        </w:rPr>
        <w:t>Załącznik nr 1</w:t>
      </w:r>
      <w:r w:rsidR="00107CEA">
        <w:rPr>
          <w:rFonts w:ascii="Arial Narrow" w:hAnsi="Arial Narrow"/>
          <w:b/>
          <w:bCs/>
        </w:rPr>
        <w:t>8</w:t>
      </w:r>
    </w:p>
    <w:p w14:paraId="281C350E" w14:textId="2C514778" w:rsidR="00D6703B" w:rsidRPr="00D6703B" w:rsidRDefault="00D6703B" w:rsidP="00D6703B">
      <w:pPr>
        <w:spacing w:line="360" w:lineRule="auto"/>
        <w:jc w:val="center"/>
        <w:rPr>
          <w:rFonts w:ascii="Arial Narrow" w:hAnsi="Arial Narrow"/>
          <w:b/>
          <w:bCs/>
          <w:u w:val="single"/>
        </w:rPr>
      </w:pPr>
      <w:r w:rsidRPr="00D6703B">
        <w:rPr>
          <w:rFonts w:ascii="Arial Narrow" w:hAnsi="Arial Narrow"/>
          <w:b/>
          <w:bCs/>
          <w:u w:val="single"/>
        </w:rPr>
        <w:t>POLITYKA PRZECIWDZIAŁANIA WYSTĄPIENIU KONFLIKTU INTERESÓW</w:t>
      </w:r>
    </w:p>
    <w:p w14:paraId="5D2C1667" w14:textId="77777777" w:rsidR="00D6703B" w:rsidRPr="00D6703B" w:rsidRDefault="00D6703B" w:rsidP="00D6703B">
      <w:pPr>
        <w:spacing w:line="360" w:lineRule="auto"/>
        <w:jc w:val="center"/>
        <w:rPr>
          <w:rFonts w:ascii="Arial Narrow" w:hAnsi="Arial Narrow"/>
          <w:b/>
          <w:bCs/>
          <w:u w:val="single"/>
        </w:rPr>
      </w:pPr>
    </w:p>
    <w:p w14:paraId="7F644FB8" w14:textId="73E57A84" w:rsidR="00D6703B" w:rsidRPr="00D6703B" w:rsidRDefault="00D6703B" w:rsidP="005B1C79">
      <w:pPr>
        <w:autoSpaceDE w:val="0"/>
        <w:autoSpaceDN w:val="0"/>
        <w:adjustRightInd w:val="0"/>
        <w:spacing w:after="0" w:line="360" w:lineRule="auto"/>
        <w:ind w:left="284" w:firstLine="0"/>
        <w:rPr>
          <w:rFonts w:ascii="Arial Narrow" w:hAnsi="Arial Narrow" w:cs="Arial"/>
          <w:bCs/>
          <w:iCs/>
        </w:rPr>
      </w:pPr>
      <w:r w:rsidRPr="00D6703B">
        <w:rPr>
          <w:rFonts w:ascii="Arial Narrow" w:hAnsi="Arial Narrow" w:cs="Arial"/>
          <w:bCs/>
          <w:iCs/>
        </w:rPr>
        <w:t xml:space="preserve">Niniejsza „Polityka przeciwdziałania wystąpieniu konfliktom interesów”, zwana dalej „Polityką”, </w:t>
      </w:r>
      <w:r w:rsidR="00FC102A">
        <w:rPr>
          <w:rFonts w:ascii="Arial Narrow" w:hAnsi="Arial Narrow" w:cs="Arial"/>
          <w:bCs/>
          <w:iCs/>
        </w:rPr>
        <w:br/>
      </w:r>
      <w:r w:rsidRPr="00D6703B">
        <w:rPr>
          <w:rFonts w:ascii="Arial Narrow" w:hAnsi="Arial Narrow" w:cs="Arial"/>
          <w:bCs/>
          <w:iCs/>
        </w:rPr>
        <w:t>ma zastosowanie przy wykonywaniu zadań związanych z realizacją um</w:t>
      </w:r>
      <w:r w:rsidR="005B1C79">
        <w:rPr>
          <w:rFonts w:ascii="Arial Narrow" w:hAnsi="Arial Narrow" w:cs="Arial"/>
          <w:bCs/>
          <w:iCs/>
        </w:rPr>
        <w:t>owy</w:t>
      </w:r>
      <w:r w:rsidRPr="00D6703B">
        <w:rPr>
          <w:rFonts w:ascii="Arial Narrow" w:hAnsi="Arial Narrow" w:cs="Arial"/>
          <w:bCs/>
          <w:iCs/>
        </w:rPr>
        <w:t xml:space="preserve"> Operacyjn</w:t>
      </w:r>
      <w:r w:rsidR="005B1C79">
        <w:rPr>
          <w:rFonts w:ascii="Arial Narrow" w:hAnsi="Arial Narrow" w:cs="Arial"/>
          <w:bCs/>
          <w:iCs/>
        </w:rPr>
        <w:t>ej</w:t>
      </w:r>
      <w:r w:rsidRPr="00D6703B">
        <w:rPr>
          <w:rFonts w:ascii="Arial Narrow" w:hAnsi="Arial Narrow" w:cs="Arial"/>
          <w:bCs/>
          <w:iCs/>
        </w:rPr>
        <w:t xml:space="preserve"> </w:t>
      </w:r>
      <w:r w:rsidR="005B1C79">
        <w:rPr>
          <w:rFonts w:ascii="Arial Narrow" w:hAnsi="Arial Narrow" w:cs="Arial"/>
          <w:bCs/>
          <w:iCs/>
        </w:rPr>
        <w:br/>
        <w:t xml:space="preserve">nr </w:t>
      </w:r>
      <w:bookmarkStart w:id="0" w:name="_Hlk194396622"/>
      <w:r w:rsidR="005516A9" w:rsidRPr="005C084C">
        <w:rPr>
          <w:rFonts w:ascii="Arial Narrow" w:hAnsi="Arial Narrow"/>
        </w:rPr>
        <w:t>2</w:t>
      </w:r>
      <w:r w:rsidR="005516A9" w:rsidRPr="005C084C">
        <w:rPr>
          <w:rFonts w:ascii="Arial Narrow" w:hAnsi="Arial Narrow" w:cs="Calibri"/>
        </w:rPr>
        <w:t>/FESW/</w:t>
      </w:r>
      <w:r w:rsidR="005516A9">
        <w:rPr>
          <w:rFonts w:ascii="Arial Narrow" w:hAnsi="Arial Narrow" w:cs="Calibri"/>
        </w:rPr>
        <w:t>76</w:t>
      </w:r>
      <w:r w:rsidR="005516A9" w:rsidRPr="005C084C">
        <w:rPr>
          <w:rFonts w:ascii="Arial Narrow" w:hAnsi="Arial Narrow" w:cs="Calibri"/>
        </w:rPr>
        <w:t>24/202</w:t>
      </w:r>
      <w:r w:rsidR="005516A9">
        <w:rPr>
          <w:rFonts w:ascii="Arial Narrow" w:hAnsi="Arial Narrow" w:cs="Calibri"/>
        </w:rPr>
        <w:t>5</w:t>
      </w:r>
      <w:r w:rsidR="005516A9" w:rsidRPr="005C084C">
        <w:rPr>
          <w:rFonts w:ascii="Arial Narrow" w:hAnsi="Arial Narrow" w:cs="Calibri"/>
        </w:rPr>
        <w:t>/</w:t>
      </w:r>
      <w:r w:rsidR="005516A9">
        <w:rPr>
          <w:rFonts w:ascii="Arial Narrow" w:hAnsi="Arial Narrow" w:cs="Calibri"/>
        </w:rPr>
        <w:t>I</w:t>
      </w:r>
      <w:r w:rsidR="005516A9" w:rsidRPr="005C084C">
        <w:rPr>
          <w:rFonts w:ascii="Arial Narrow" w:hAnsi="Arial Narrow" w:cs="Calibri"/>
        </w:rPr>
        <w:t>I/EFRR/1</w:t>
      </w:r>
      <w:r w:rsidR="005516A9">
        <w:rPr>
          <w:rFonts w:ascii="Arial Narrow" w:hAnsi="Arial Narrow" w:cs="Calibri"/>
        </w:rPr>
        <w:t>73</w:t>
      </w:r>
      <w:bookmarkEnd w:id="0"/>
      <w:r w:rsidR="005516A9">
        <w:rPr>
          <w:rFonts w:ascii="Arial Narrow" w:hAnsi="Arial Narrow" w:cs="Calibri"/>
        </w:rPr>
        <w:t xml:space="preserve"> </w:t>
      </w:r>
      <w:r w:rsidRPr="00D6703B">
        <w:rPr>
          <w:rFonts w:ascii="Arial Narrow" w:hAnsi="Arial Narrow" w:cs="Arial"/>
          <w:bCs/>
          <w:iCs/>
        </w:rPr>
        <w:t>i dotyczy wszystkich osób wykonujących w imieniu Krajowego Stowarzyszenie Wspierania Przedsiębiorczości z siedzibą w Końskich, czynności związanych z procedurą wyboru Ostatecznych Odbiorców.</w:t>
      </w:r>
    </w:p>
    <w:p w14:paraId="46535209" w14:textId="77777777" w:rsidR="00D6703B" w:rsidRPr="00D6703B" w:rsidRDefault="00D6703B" w:rsidP="00D6703B">
      <w:pPr>
        <w:spacing w:line="360" w:lineRule="auto"/>
        <w:ind w:left="0" w:firstLine="0"/>
        <w:rPr>
          <w:rFonts w:ascii="Arial Narrow" w:hAnsi="Arial Narrow"/>
        </w:rPr>
      </w:pPr>
    </w:p>
    <w:p w14:paraId="057EF76B" w14:textId="77777777" w:rsidR="00D6703B" w:rsidRPr="00D6703B" w:rsidRDefault="00D6703B" w:rsidP="00D6703B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>Wybór ostatecznych odbiorców jest przejrzysty i obiektywnie uzasadniony i nie prowadzi do powstania konfliktu interesów</w:t>
      </w:r>
      <w:r>
        <w:rPr>
          <w:rFonts w:ascii="Arial Narrow" w:hAnsi="Arial Narrow"/>
        </w:rPr>
        <w:t>.</w:t>
      </w:r>
      <w:r w:rsidRPr="00D6703B">
        <w:rPr>
          <w:rFonts w:ascii="Arial Narrow" w:hAnsi="Arial Narrow"/>
        </w:rPr>
        <w:t xml:space="preserve"> </w:t>
      </w:r>
    </w:p>
    <w:p w14:paraId="72E676AB" w14:textId="77777777" w:rsidR="00D6703B" w:rsidRPr="00D6703B" w:rsidRDefault="00D6703B" w:rsidP="00D6703B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 xml:space="preserve">Osoby wykonujące w imieniu </w:t>
      </w:r>
      <w:r w:rsidRPr="00D6703B">
        <w:rPr>
          <w:rFonts w:ascii="Arial Narrow" w:hAnsi="Arial Narrow" w:cs="Arial"/>
          <w:bCs/>
          <w:iCs/>
        </w:rPr>
        <w:t>Krajowego Stowarzyszenie Wspierania Przedsiębiorczości</w:t>
      </w:r>
      <w:r w:rsidRPr="00D6703B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KSWP</w:t>
      </w:r>
      <w:r w:rsidRPr="00D6703B">
        <w:rPr>
          <w:rFonts w:ascii="Arial Narrow" w:hAnsi="Arial Narrow"/>
        </w:rPr>
        <w:t>) czynności związanych z procedurą wyboru ostatecznych odbiorów są bezstronne i obiektywne</w:t>
      </w:r>
      <w:r>
        <w:rPr>
          <w:rFonts w:ascii="Arial Narrow" w:hAnsi="Arial Narrow"/>
        </w:rPr>
        <w:t>.</w:t>
      </w:r>
    </w:p>
    <w:p w14:paraId="0E63842C" w14:textId="77777777" w:rsidR="00D6703B" w:rsidRPr="00D6703B" w:rsidRDefault="00D6703B" w:rsidP="00D6703B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 xml:space="preserve">Osoby wykonujące w imieniu </w:t>
      </w:r>
      <w:r>
        <w:rPr>
          <w:rFonts w:ascii="Arial Narrow" w:hAnsi="Arial Narrow"/>
        </w:rPr>
        <w:t>KSWP</w:t>
      </w:r>
      <w:r w:rsidRPr="00D6703B">
        <w:rPr>
          <w:rFonts w:ascii="Arial Narrow" w:hAnsi="Arial Narrow"/>
        </w:rPr>
        <w:t xml:space="preserve"> czynności związane z procedurą wyboru ostatecznych odbiorów, </w:t>
      </w:r>
      <w:r>
        <w:rPr>
          <w:rFonts w:ascii="Arial Narrow" w:hAnsi="Arial Narrow"/>
        </w:rPr>
        <w:br/>
      </w:r>
      <w:r w:rsidRPr="00D6703B">
        <w:rPr>
          <w:rFonts w:ascii="Arial Narrow" w:hAnsi="Arial Narrow"/>
        </w:rPr>
        <w:t>w tym w szczególności osoby biorące udział w procesie oceny wniosków o pożyczkę, zabezpieczeń, negocjacji postanowień umowy inwestycyjnej czy podejmowania decyzji o udzielaniu bądź odmowie udzielenia wsparcia, nie są powiązane osobowo lub kapitałowo z ostatecznym odbiorcą, którego dotyczy wybór</w:t>
      </w:r>
      <w:r>
        <w:rPr>
          <w:rFonts w:ascii="Arial Narrow" w:hAnsi="Arial Narrow"/>
        </w:rPr>
        <w:t>.</w:t>
      </w:r>
    </w:p>
    <w:p w14:paraId="1AD23DD0" w14:textId="77777777" w:rsidR="00D6703B" w:rsidRPr="00D6703B" w:rsidRDefault="00D6703B" w:rsidP="00D6703B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 xml:space="preserve">Wsparcie nie może zostać udzielone ostatecznemu odbiorcy, który jest powiązany osobowo </w:t>
      </w:r>
      <w:r w:rsidR="00672C9F">
        <w:rPr>
          <w:rFonts w:ascii="Arial Narrow" w:hAnsi="Arial Narrow"/>
        </w:rPr>
        <w:br/>
      </w:r>
      <w:r w:rsidRPr="00D6703B">
        <w:rPr>
          <w:rFonts w:ascii="Arial Narrow" w:hAnsi="Arial Narrow"/>
        </w:rPr>
        <w:t xml:space="preserve">lub kapitałowo z </w:t>
      </w:r>
      <w:r>
        <w:rPr>
          <w:rFonts w:ascii="Arial Narrow" w:hAnsi="Arial Narrow"/>
        </w:rPr>
        <w:t>KSWP</w:t>
      </w:r>
      <w:r w:rsidRPr="00D6703B">
        <w:rPr>
          <w:rFonts w:ascii="Arial Narrow" w:hAnsi="Arial Narrow"/>
        </w:rPr>
        <w:t xml:space="preserve">, chyba że </w:t>
      </w:r>
      <w:r>
        <w:rPr>
          <w:rFonts w:ascii="Arial Narrow" w:hAnsi="Arial Narrow"/>
        </w:rPr>
        <w:t>KSWP</w:t>
      </w:r>
      <w:r w:rsidRPr="00D6703B">
        <w:rPr>
          <w:rFonts w:ascii="Arial Narrow" w:hAnsi="Arial Narrow"/>
        </w:rPr>
        <w:t xml:space="preserve"> wystąpi o stosowną zgodę do Banku oraz taką zgodę uzyska</w:t>
      </w:r>
      <w:r>
        <w:rPr>
          <w:rFonts w:ascii="Arial Narrow" w:hAnsi="Arial Narrow"/>
        </w:rPr>
        <w:t>.</w:t>
      </w:r>
      <w:r w:rsidRPr="00D6703B">
        <w:rPr>
          <w:rFonts w:ascii="Arial Narrow" w:hAnsi="Arial Narrow"/>
        </w:rPr>
        <w:t xml:space="preserve"> </w:t>
      </w:r>
    </w:p>
    <w:p w14:paraId="0E9A2663" w14:textId="77777777" w:rsidR="00D6703B" w:rsidRPr="00672C9F" w:rsidRDefault="00672C9F" w:rsidP="00672C9F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672C9F">
        <w:rPr>
          <w:rFonts w:ascii="Arial Narrow" w:hAnsi="Arial Narrow"/>
        </w:rPr>
        <w:t>W</w:t>
      </w:r>
      <w:r w:rsidR="00D6703B" w:rsidRPr="00672C9F">
        <w:rPr>
          <w:rFonts w:ascii="Arial Narrow" w:hAnsi="Arial Narrow"/>
        </w:rPr>
        <w:t xml:space="preserve"> przypadku zidentyfikowania ryzyka wystąpienia konfliktu interesów, zagrożenia dla bezstronności </w:t>
      </w:r>
      <w:r>
        <w:rPr>
          <w:rFonts w:ascii="Arial Narrow" w:hAnsi="Arial Narrow"/>
        </w:rPr>
        <w:br/>
      </w:r>
      <w:r w:rsidR="00D6703B" w:rsidRPr="00672C9F">
        <w:rPr>
          <w:rFonts w:ascii="Arial Narrow" w:hAnsi="Arial Narrow"/>
        </w:rPr>
        <w:t>lub braku obiektywizmu na którymkolwiek etapie wyboru ostatecznych odbiorców oraz udzielania wsparcia</w:t>
      </w:r>
      <w:r w:rsidR="002323CF" w:rsidRPr="00672C9F">
        <w:rPr>
          <w:rFonts w:ascii="Arial Narrow" w:hAnsi="Arial Narrow"/>
        </w:rPr>
        <w:t>,</w:t>
      </w:r>
      <w:r w:rsidR="00645A5B" w:rsidRPr="00672C9F">
        <w:rPr>
          <w:rFonts w:ascii="Arial Narrow" w:hAnsi="Arial Narrow"/>
        </w:rPr>
        <w:t xml:space="preserve"> następuje wstrzymanie świadczenia usługi na rzecz </w:t>
      </w:r>
      <w:r>
        <w:rPr>
          <w:rFonts w:ascii="Arial Narrow" w:hAnsi="Arial Narrow"/>
        </w:rPr>
        <w:t>k</w:t>
      </w:r>
      <w:r w:rsidR="00645A5B" w:rsidRPr="00672C9F">
        <w:rPr>
          <w:rFonts w:ascii="Arial Narrow" w:hAnsi="Arial Narrow"/>
        </w:rPr>
        <w:t>lienta, którego dotyczy konflikt</w:t>
      </w:r>
      <w:r w:rsidR="002323CF" w:rsidRPr="00672C9F">
        <w:rPr>
          <w:rFonts w:ascii="Arial Narrow" w:hAnsi="Arial Narrow"/>
        </w:rPr>
        <w:t xml:space="preserve"> interesów</w:t>
      </w:r>
      <w:r w:rsidRPr="00672C9F">
        <w:rPr>
          <w:rFonts w:ascii="Arial Narrow" w:hAnsi="Arial Narrow"/>
        </w:rPr>
        <w:t>. Osoba nadzorująca konflikt interesów</w:t>
      </w:r>
      <w:r w:rsidR="00FC102A">
        <w:rPr>
          <w:rFonts w:ascii="Arial Narrow" w:hAnsi="Arial Narrow"/>
        </w:rPr>
        <w:t>,</w:t>
      </w:r>
      <w:r w:rsidRPr="00672C9F">
        <w:rPr>
          <w:rFonts w:ascii="Arial Narrow" w:hAnsi="Arial Narrow"/>
        </w:rPr>
        <w:t xml:space="preserve"> niezwłocznie po otrzymaniu informacji o zidentyfikowaniu konfliktu interesów</w:t>
      </w:r>
      <w:r w:rsidR="00FC102A">
        <w:rPr>
          <w:rFonts w:ascii="Arial Narrow" w:hAnsi="Arial Narrow"/>
        </w:rPr>
        <w:t>,</w:t>
      </w:r>
      <w:r w:rsidRPr="00672C9F">
        <w:rPr>
          <w:rFonts w:ascii="Arial Narrow" w:hAnsi="Arial Narrow"/>
        </w:rPr>
        <w:t xml:space="preserve"> ocenia naruszenia interesów </w:t>
      </w:r>
      <w:r>
        <w:rPr>
          <w:rFonts w:ascii="Arial Narrow" w:hAnsi="Arial Narrow"/>
        </w:rPr>
        <w:t>k</w:t>
      </w:r>
      <w:r w:rsidRPr="00672C9F">
        <w:rPr>
          <w:rFonts w:ascii="Arial Narrow" w:hAnsi="Arial Narrow"/>
        </w:rPr>
        <w:t>lienta, wprowadza rozwiązania ograniczające to ryzyko i określa procedurę dalszego postępowania pracowników biorących udział w świadczeniu usługi na rzecz tego klienta.</w:t>
      </w:r>
      <w:r>
        <w:rPr>
          <w:rFonts w:ascii="Arial Narrow" w:hAnsi="Arial Narrow"/>
        </w:rPr>
        <w:t xml:space="preserve"> Procedura dalszego postępowania jest przekazywana</w:t>
      </w:r>
      <w:r w:rsidR="00FC102A">
        <w:rPr>
          <w:rFonts w:ascii="Arial Narrow" w:hAnsi="Arial Narrow"/>
        </w:rPr>
        <w:t xml:space="preserve"> pracownikom biorącym udział </w:t>
      </w:r>
      <w:r w:rsidR="00FC102A">
        <w:rPr>
          <w:rFonts w:ascii="Arial Narrow" w:hAnsi="Arial Narrow"/>
        </w:rPr>
        <w:br/>
        <w:t>w świadczeniu usługi na rzecz klienta, którego dotyczy konflikt interesów.</w:t>
      </w:r>
    </w:p>
    <w:p w14:paraId="4ABF64ED" w14:textId="77777777" w:rsidR="00D6703B" w:rsidRPr="00D6703B" w:rsidRDefault="00D6703B" w:rsidP="00D6703B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>Obowiązek składania i archiwizowania pisemnych oświadczeń osób biorących udział w czynnościach określonych w pkt. 3), zawierających co najmniej:</w:t>
      </w:r>
    </w:p>
    <w:p w14:paraId="2B8FC472" w14:textId="77777777" w:rsidR="00D6703B" w:rsidRDefault="00D6703B" w:rsidP="00D6703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>oświadczenie o braku powiązań kapitałowych lub osobowych z podmiotem ubiegającym się udzielenie wsparcia, a w przypadku istnienia takich powiązań, oświadczenie o wyłączeniu się danej osoby z czynności określonych w pkt. 3),</w:t>
      </w:r>
    </w:p>
    <w:p w14:paraId="457015EA" w14:textId="77777777" w:rsidR="00D6703B" w:rsidRPr="00D6703B" w:rsidRDefault="00D6703B" w:rsidP="00D6703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lastRenderedPageBreak/>
        <w:t xml:space="preserve">oświadczenie o przestrzeganiu zasady obiektywizmu i bezstronności przy wykonywaniu czynności określonych w pkt. 3), </w:t>
      </w:r>
    </w:p>
    <w:p w14:paraId="78059D4D" w14:textId="77777777" w:rsidR="00D6703B" w:rsidRPr="00D6703B" w:rsidRDefault="00D6703B" w:rsidP="005B1C79">
      <w:pPr>
        <w:spacing w:line="360" w:lineRule="auto"/>
        <w:ind w:hanging="6"/>
        <w:rPr>
          <w:rFonts w:ascii="Arial Narrow" w:hAnsi="Arial Narrow"/>
        </w:rPr>
      </w:pPr>
      <w:r w:rsidRPr="00D6703B">
        <w:rPr>
          <w:rFonts w:ascii="Arial Narrow" w:hAnsi="Arial Narrow"/>
        </w:rPr>
        <w:t xml:space="preserve">przy czym oświadczenia te składane są każdorazowo, dla poszczególnych podmiotów ubiegających się </w:t>
      </w:r>
      <w:r>
        <w:rPr>
          <w:rFonts w:ascii="Arial Narrow" w:hAnsi="Arial Narrow"/>
        </w:rPr>
        <w:br/>
      </w:r>
      <w:r w:rsidRPr="00D6703B">
        <w:rPr>
          <w:rFonts w:ascii="Arial Narrow" w:hAnsi="Arial Narrow"/>
        </w:rPr>
        <w:t>o udzielenie Jednostkowej Pożyczki.</w:t>
      </w:r>
    </w:p>
    <w:p w14:paraId="0A709760" w14:textId="77777777" w:rsidR="00D6703B" w:rsidRPr="00D6703B" w:rsidRDefault="00D6703B" w:rsidP="00D6703B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 xml:space="preserve">Wprowadza się definicję powiązań kapitałowych lub osobowych, przez które należy rozumieć wzajemne powiązania między pośrednikiem finansowym lub osobami upoważnionymi do zaciągania zobowiązań </w:t>
      </w:r>
      <w:r>
        <w:rPr>
          <w:rFonts w:ascii="Arial Narrow" w:hAnsi="Arial Narrow"/>
        </w:rPr>
        <w:br/>
      </w:r>
      <w:r w:rsidRPr="00D6703B">
        <w:rPr>
          <w:rFonts w:ascii="Arial Narrow" w:hAnsi="Arial Narrow"/>
        </w:rPr>
        <w:t xml:space="preserve">w imieniu pośrednika finansowego lub osobami wykonującymi w imieniu pośrednika finansowego czynności określone w pkt 3) powyżej a ostatecznym odbiorcą, którego dotyczy wybór lub osobami uprawnionymi do jego reprezentacji lub zaciągania w jego imieniu zobowiązań, polegające </w:t>
      </w:r>
      <w:r>
        <w:rPr>
          <w:rFonts w:ascii="Arial Narrow" w:hAnsi="Arial Narrow"/>
        </w:rPr>
        <w:br/>
      </w:r>
      <w:r w:rsidRPr="00D6703B">
        <w:rPr>
          <w:rFonts w:ascii="Arial Narrow" w:hAnsi="Arial Narrow"/>
        </w:rPr>
        <w:t xml:space="preserve">w szczególności na: </w:t>
      </w:r>
    </w:p>
    <w:p w14:paraId="1C6BEFDB" w14:textId="77777777" w:rsidR="00D6703B" w:rsidRDefault="00D6703B" w:rsidP="00D6703B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>uczestniczeniu w spółce jako wspólnik spółki cywilnej lub spółki osobowej,</w:t>
      </w:r>
    </w:p>
    <w:p w14:paraId="73DD5DF3" w14:textId="77777777" w:rsidR="00D6703B" w:rsidRDefault="00D6703B" w:rsidP="00D6703B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 xml:space="preserve">posiadaniu co najmniej 10% udziałów lub akcji, o ile niższy próg nie wynika z przepisów prawa, </w:t>
      </w:r>
    </w:p>
    <w:p w14:paraId="0E6A38BA" w14:textId="77777777" w:rsidR="00D6703B" w:rsidRPr="00D6703B" w:rsidRDefault="00D6703B" w:rsidP="00D6703B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 xml:space="preserve">pełnieniu funkcji członka organu nadzorczego lub zarządzającego, prokurenta, pełnomocnika, </w:t>
      </w:r>
    </w:p>
    <w:p w14:paraId="1C0EFE61" w14:textId="1E102F50" w:rsidR="00D6703B" w:rsidRDefault="00D6703B" w:rsidP="00D6703B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D6703B">
        <w:rPr>
          <w:rFonts w:ascii="Arial Narrow" w:hAnsi="Arial Narrow"/>
        </w:rPr>
        <w:t xml:space="preserve">pozostawaniu w związku małżeńskim, w stosunku pokrewieństwa lub powinowactwa w linii prostej, pokrewieństwa do drugiego stopnia lub powinowactwa do drugiego stopnia w linii bocznej </w:t>
      </w:r>
      <w:r>
        <w:rPr>
          <w:rFonts w:ascii="Arial Narrow" w:hAnsi="Arial Narrow"/>
        </w:rPr>
        <w:br/>
      </w:r>
      <w:r w:rsidRPr="00D6703B">
        <w:rPr>
          <w:rFonts w:ascii="Arial Narrow" w:hAnsi="Arial Narrow"/>
        </w:rPr>
        <w:t>lub w stosunku przysposobienia, opieki lub kurateli.</w:t>
      </w:r>
    </w:p>
    <w:p w14:paraId="6DF3DAC3" w14:textId="1153F09B" w:rsidR="00E955B6" w:rsidRDefault="00E955B6" w:rsidP="00E955B6">
      <w:pPr>
        <w:spacing w:line="360" w:lineRule="auto"/>
        <w:rPr>
          <w:rFonts w:ascii="Arial Narrow" w:hAnsi="Arial Narrow"/>
        </w:rPr>
      </w:pPr>
    </w:p>
    <w:p w14:paraId="5C4233E3" w14:textId="4436C3BC" w:rsidR="00E955B6" w:rsidRDefault="00E955B6" w:rsidP="00E955B6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Zapoznałem się</w:t>
      </w:r>
    </w:p>
    <w:p w14:paraId="03FFDE30" w14:textId="6B6480A6" w:rsidR="00E955B6" w:rsidRDefault="00E955B6" w:rsidP="00E955B6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</w:p>
    <w:p w14:paraId="13F2CED4" w14:textId="5F0EE5E7" w:rsidR="00E955B6" w:rsidRPr="00E955B6" w:rsidRDefault="00E955B6" w:rsidP="00E955B6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Podpis, data</w:t>
      </w:r>
    </w:p>
    <w:p w14:paraId="06419BAB" w14:textId="77777777" w:rsidR="00D6703B" w:rsidRPr="00D6703B" w:rsidRDefault="00D6703B" w:rsidP="00D6703B">
      <w:pPr>
        <w:pStyle w:val="Akapitzlist"/>
        <w:spacing w:line="360" w:lineRule="auto"/>
        <w:ind w:left="717"/>
        <w:rPr>
          <w:rFonts w:ascii="Arial Narrow" w:hAnsi="Arial Narrow"/>
        </w:rPr>
      </w:pPr>
    </w:p>
    <w:p w14:paraId="1DFDAD17" w14:textId="77777777" w:rsidR="00CE77BD" w:rsidRPr="00D6703B" w:rsidRDefault="00CE77BD" w:rsidP="00D6703B">
      <w:pPr>
        <w:spacing w:line="360" w:lineRule="auto"/>
        <w:rPr>
          <w:rFonts w:ascii="Arial Narrow" w:hAnsi="Arial Narrow"/>
        </w:rPr>
      </w:pPr>
    </w:p>
    <w:sectPr w:rsidR="00CE77BD" w:rsidRPr="00D67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6F8D" w14:textId="77777777" w:rsidR="005B1C79" w:rsidRDefault="005B1C79" w:rsidP="005B1C79">
      <w:pPr>
        <w:spacing w:after="0" w:line="240" w:lineRule="auto"/>
      </w:pPr>
      <w:r>
        <w:separator/>
      </w:r>
    </w:p>
  </w:endnote>
  <w:endnote w:type="continuationSeparator" w:id="0">
    <w:p w14:paraId="6EFE4C30" w14:textId="77777777" w:rsidR="005B1C79" w:rsidRDefault="005B1C79" w:rsidP="005B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39D4" w14:textId="77777777" w:rsidR="009E462D" w:rsidRDefault="009E46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00C7" w14:textId="77777777" w:rsidR="005B1C79" w:rsidRPr="005B1C79" w:rsidRDefault="005B1C79" w:rsidP="005B1C79">
    <w:pPr>
      <w:pStyle w:val="Stopka"/>
      <w:ind w:left="0" w:firstLine="0"/>
    </w:pPr>
    <w:r>
      <w:rPr>
        <w:noProof/>
      </w:rPr>
      <w:drawing>
        <wp:inline distT="0" distB="0" distL="0" distR="0" wp14:anchorId="2C07A663" wp14:editId="3C86DEA2">
          <wp:extent cx="5297805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F464" w14:textId="77777777" w:rsidR="009E462D" w:rsidRDefault="009E46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0726" w14:textId="77777777" w:rsidR="005B1C79" w:rsidRDefault="005B1C79" w:rsidP="005B1C79">
      <w:pPr>
        <w:spacing w:after="0" w:line="240" w:lineRule="auto"/>
      </w:pPr>
      <w:r>
        <w:separator/>
      </w:r>
    </w:p>
  </w:footnote>
  <w:footnote w:type="continuationSeparator" w:id="0">
    <w:p w14:paraId="10FFCCFB" w14:textId="77777777" w:rsidR="005B1C79" w:rsidRDefault="005B1C79" w:rsidP="005B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CCFA" w14:textId="77777777" w:rsidR="009E462D" w:rsidRDefault="009E46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6405" w14:textId="3DC4133E" w:rsidR="005B1C79" w:rsidRDefault="00A415F2">
    <w:pPr>
      <w:pStyle w:val="Nagwek"/>
    </w:pPr>
    <w:r>
      <w:rPr>
        <w:noProof/>
      </w:rPr>
      <w:drawing>
        <wp:inline distT="0" distB="0" distL="0" distR="0" wp14:anchorId="2622F87C" wp14:editId="39616D47">
          <wp:extent cx="5760720" cy="462915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0A6E" w14:textId="77777777" w:rsidR="009E462D" w:rsidRDefault="009E46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73014"/>
    <w:multiLevelType w:val="hybridMultilevel"/>
    <w:tmpl w:val="62468790"/>
    <w:lvl w:ilvl="0" w:tplc="2940CBF8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2DE06FF"/>
    <w:multiLevelType w:val="hybridMultilevel"/>
    <w:tmpl w:val="230858F8"/>
    <w:lvl w:ilvl="0" w:tplc="2940CBF8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73A37780"/>
    <w:multiLevelType w:val="hybridMultilevel"/>
    <w:tmpl w:val="66F41C44"/>
    <w:lvl w:ilvl="0" w:tplc="BFEEB5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64A33AF"/>
    <w:multiLevelType w:val="hybridMultilevel"/>
    <w:tmpl w:val="6EB6B80E"/>
    <w:lvl w:ilvl="0" w:tplc="2940CBF8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3B"/>
    <w:rsid w:val="00107CEA"/>
    <w:rsid w:val="001A2492"/>
    <w:rsid w:val="002045FC"/>
    <w:rsid w:val="002323CF"/>
    <w:rsid w:val="002739F9"/>
    <w:rsid w:val="002905C0"/>
    <w:rsid w:val="005516A9"/>
    <w:rsid w:val="005B1C79"/>
    <w:rsid w:val="00645A5B"/>
    <w:rsid w:val="00672C9F"/>
    <w:rsid w:val="007E2122"/>
    <w:rsid w:val="008A001B"/>
    <w:rsid w:val="009E462D"/>
    <w:rsid w:val="009F4D7E"/>
    <w:rsid w:val="00A065F8"/>
    <w:rsid w:val="00A415F2"/>
    <w:rsid w:val="00AC13E2"/>
    <w:rsid w:val="00C1267F"/>
    <w:rsid w:val="00C2737F"/>
    <w:rsid w:val="00CD39FF"/>
    <w:rsid w:val="00CE77BD"/>
    <w:rsid w:val="00D6703B"/>
    <w:rsid w:val="00E60D2A"/>
    <w:rsid w:val="00E955B6"/>
    <w:rsid w:val="00F21E00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78D71A"/>
  <w15:chartTrackingRefBased/>
  <w15:docId w15:val="{8C310B75-D257-4E2E-A7EC-08F63A89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03B"/>
    <w:pPr>
      <w:spacing w:after="200" w:line="276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0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1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C7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1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C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Czarnecki</dc:creator>
  <cp:keywords/>
  <dc:description/>
  <cp:lastModifiedBy>KSWP Wspólny</cp:lastModifiedBy>
  <cp:revision>14</cp:revision>
  <dcterms:created xsi:type="dcterms:W3CDTF">2025-03-25T07:24:00Z</dcterms:created>
  <dcterms:modified xsi:type="dcterms:W3CDTF">2025-07-15T05:44:00Z</dcterms:modified>
</cp:coreProperties>
</file>