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130F7DAF" w:rsidR="00EC502B" w:rsidRPr="00AE4821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</w:t>
      </w:r>
      <w:r w:rsidR="00AE4821" w:rsidRPr="00AE4821">
        <w:rPr>
          <w:rFonts w:ascii="Arial Narrow" w:eastAsia="Times New Roman" w:hAnsi="Arial Narrow" w:cs="Times New Roman"/>
          <w:b/>
          <w:i/>
          <w:iCs/>
          <w:lang w:eastAsia="pl-PL"/>
        </w:rPr>
        <w:t>Pożyczka na poprawę</w:t>
      </w:r>
      <w:r w:rsidR="00AE4821" w:rsidRPr="00AE4821">
        <w:rPr>
          <w:i/>
          <w:iCs/>
          <w:color w:val="000000"/>
          <w:sz w:val="27"/>
          <w:szCs w:val="27"/>
        </w:rPr>
        <w:t xml:space="preserve"> </w:t>
      </w:r>
      <w:r w:rsidR="00AE4821" w:rsidRPr="00AE4821">
        <w:rPr>
          <w:rFonts w:ascii="Arial Narrow" w:eastAsia="Times New Roman" w:hAnsi="Arial Narrow" w:cs="Times New Roman"/>
          <w:b/>
          <w:i/>
          <w:iCs/>
          <w:lang w:eastAsia="pl-PL"/>
        </w:rPr>
        <w:t>efektywności energetycznej w mikro i małych przedsiębiorstwach z dotacją w formie umorzenia</w:t>
      </w:r>
      <w:r w:rsidR="00AE4821" w:rsidRPr="00EC502B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AE482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44E49504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III. finansowanie w ramach Instrumentu Finansowego </w:t>
      </w:r>
      <w:r w:rsidR="00AE4821" w:rsidRPr="00AE4821">
        <w:rPr>
          <w:rFonts w:ascii="Arial Narrow" w:eastAsia="Times New Roman" w:hAnsi="Arial Narrow" w:cs="Times New Roman"/>
          <w:b/>
          <w:i/>
          <w:iCs/>
          <w:lang w:eastAsia="pl-PL"/>
        </w:rPr>
        <w:t>Pożyczka na poprawę</w:t>
      </w:r>
      <w:r w:rsidR="00AE4821" w:rsidRPr="00AE4821">
        <w:rPr>
          <w:i/>
          <w:iCs/>
          <w:color w:val="000000"/>
          <w:sz w:val="27"/>
          <w:szCs w:val="27"/>
        </w:rPr>
        <w:t xml:space="preserve"> </w:t>
      </w:r>
      <w:r w:rsidR="00AE4821" w:rsidRPr="00AE4821">
        <w:rPr>
          <w:rFonts w:ascii="Arial Narrow" w:eastAsia="Times New Roman" w:hAnsi="Arial Narrow" w:cs="Times New Roman"/>
          <w:b/>
          <w:i/>
          <w:iCs/>
          <w:lang w:eastAsia="pl-PL"/>
        </w:rPr>
        <w:t>efektywności energetycznej w mikro i małych przedsiębiorstwach z dotacją w formie umorzenia</w:t>
      </w:r>
      <w:r w:rsidR="00AE4821" w:rsidRPr="00EC502B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AE482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w późniejszym czasie dofinansowana z wyżej wskazanych źródeł, a gdyby takie </w:t>
      </w:r>
      <w:r w:rsidRPr="00EC502B">
        <w:rPr>
          <w:rFonts w:ascii="Arial Narrow" w:eastAsia="Times New Roman" w:hAnsi="Arial Narrow" w:cs="Times New Roman"/>
          <w:b/>
          <w:lang w:eastAsia="pl-PL"/>
        </w:rPr>
        <w:lastRenderedPageBreak/>
        <w:t>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180" w14:textId="3816894F" w:rsidR="00AA1694" w:rsidRDefault="00AA1694">
    <w:pPr>
      <w:pStyle w:val="Stopka"/>
      <w:jc w:val="right"/>
    </w:pPr>
  </w:p>
  <w:p w14:paraId="57FCB7AD" w14:textId="2E23FBE5" w:rsidR="00AA1694" w:rsidRDefault="00AA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EC7" w14:textId="517A8125" w:rsidR="004F769B" w:rsidRPr="00844FC9" w:rsidRDefault="006C1FFE" w:rsidP="004F769B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63B948A6" wp14:editId="5624EAD6">
          <wp:extent cx="5756910" cy="659765"/>
          <wp:effectExtent l="0" t="0" r="0" b="6985"/>
          <wp:docPr id="16" name="Obraz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547A5"/>
    <w:rsid w:val="00662AED"/>
    <w:rsid w:val="00693F7C"/>
    <w:rsid w:val="006C1FFE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D0DF9"/>
    <w:rsid w:val="00A14D3E"/>
    <w:rsid w:val="00A31714"/>
    <w:rsid w:val="00A54B63"/>
    <w:rsid w:val="00A95F2F"/>
    <w:rsid w:val="00AA1694"/>
    <w:rsid w:val="00AE4821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63FA-3D37-4B25-AB05-5BA08719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KSWP Wspólny</cp:lastModifiedBy>
  <cp:revision>3</cp:revision>
  <dcterms:created xsi:type="dcterms:W3CDTF">2025-01-17T12:06:00Z</dcterms:created>
  <dcterms:modified xsi:type="dcterms:W3CDTF">2025-06-17T08:39:00Z</dcterms:modified>
</cp:coreProperties>
</file>